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1D4" w:rsidRDefault="004E11C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Kritéria pro přijímání dětí do II.MŠ Pomezí 102 okres Svitavy</w:t>
      </w:r>
    </w:p>
    <w:p w:rsidR="00B151D4" w:rsidRDefault="00B151D4">
      <w:pPr>
        <w:rPr>
          <w:rFonts w:ascii="Times New Roman" w:hAnsi="Times New Roman" w:cs="Times New Roman"/>
          <w:b/>
          <w:sz w:val="24"/>
          <w:szCs w:val="24"/>
        </w:rPr>
      </w:pPr>
    </w:p>
    <w:p w:rsidR="00B151D4" w:rsidRDefault="004E11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Ředitelka II.MŠ Pomezí 102 okres Svitavy stanovila následující kritéria, podle nichž bude postupovat při rozhodování na základě stanovení §34 odst. 2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písm.b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) zákona 561/2004 Sb., o předškolním, základním, středním, vyšším odborném a jiném vzdělání (školský zákon), ve znění pozdějších předpisů, o přijetí dítěte k předškolnímu vzdělání v mateřské škole v případech, </w:t>
      </w:r>
      <w:r>
        <w:rPr>
          <w:rFonts w:ascii="Times New Roman" w:hAnsi="Times New Roman" w:cs="Times New Roman"/>
          <w:b/>
          <w:sz w:val="24"/>
          <w:szCs w:val="24"/>
        </w:rPr>
        <w:t>kdy počet žádostí o přijetí k předškolnímu vzdělávání překročí stanovenou kapacitu maximálního počtu dětí.</w:t>
      </w:r>
    </w:p>
    <w:p w:rsidR="00B151D4" w:rsidRDefault="004E11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Předškolní vzdělávání se poskytuje dětem </w:t>
      </w:r>
      <w:r>
        <w:rPr>
          <w:rFonts w:ascii="Times New Roman" w:hAnsi="Times New Roman" w:cs="Times New Roman"/>
          <w:b/>
          <w:sz w:val="24"/>
          <w:szCs w:val="24"/>
        </w:rPr>
        <w:t>zpravidla od 3. let věku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dítě mladší 3. let nemá na přijetí do MŠ právní nárok</w:t>
      </w:r>
      <w:r>
        <w:rPr>
          <w:rFonts w:ascii="Times New Roman" w:hAnsi="Times New Roman" w:cs="Times New Roman"/>
          <w:sz w:val="24"/>
          <w:szCs w:val="24"/>
        </w:rPr>
        <w:t>) do zahájení povinné školní docházky.</w:t>
      </w:r>
    </w:p>
    <w:p w:rsidR="00B151D4" w:rsidRDefault="00B151D4">
      <w:pPr>
        <w:rPr>
          <w:rFonts w:ascii="Times New Roman" w:hAnsi="Times New Roman" w:cs="Times New Roman"/>
          <w:sz w:val="24"/>
          <w:szCs w:val="24"/>
        </w:rPr>
      </w:pPr>
    </w:p>
    <w:p w:rsidR="00B151D4" w:rsidRDefault="004E11C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Při přijímání dětí (v případě vyššího počtu žádostí, než je kapacita MŠ) vychází ředitelka z následujících kritérií</w:t>
      </w:r>
    </w:p>
    <w:p w:rsidR="00B151D4" w:rsidRDefault="004E11C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Bez ohledu na bodové hodnocení je </w:t>
      </w:r>
      <w:r>
        <w:rPr>
          <w:rFonts w:ascii="Times New Roman" w:hAnsi="Times New Roman" w:cs="Times New Roman"/>
          <w:b/>
          <w:sz w:val="24"/>
          <w:szCs w:val="24"/>
        </w:rPr>
        <w:t>přednostně přijato</w:t>
      </w:r>
      <w:r>
        <w:rPr>
          <w:rFonts w:ascii="Times New Roman" w:hAnsi="Times New Roman" w:cs="Times New Roman"/>
          <w:sz w:val="24"/>
          <w:szCs w:val="24"/>
        </w:rPr>
        <w:t xml:space="preserve">, v souladu s ustanovením </w:t>
      </w:r>
    </w:p>
    <w:p w:rsidR="00B151D4" w:rsidRDefault="004E11CE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34 odst. 4 školského zákona, </w:t>
      </w:r>
      <w:r>
        <w:rPr>
          <w:rFonts w:ascii="Times New Roman" w:hAnsi="Times New Roman" w:cs="Times New Roman"/>
          <w:b/>
          <w:sz w:val="24"/>
          <w:szCs w:val="24"/>
        </w:rPr>
        <w:t>dítě v posledním roce před zahájením povinné školní docházky</w:t>
      </w:r>
    </w:p>
    <w:p w:rsidR="00B151D4" w:rsidRDefault="004E11CE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V případě shodného počtu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bodů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rozhoduje</w:t>
      </w:r>
      <w:r>
        <w:rPr>
          <w:rFonts w:ascii="Times New Roman" w:hAnsi="Times New Roman" w:cs="Times New Roman"/>
          <w:sz w:val="24"/>
          <w:szCs w:val="24"/>
        </w:rPr>
        <w:t xml:space="preserve"> ředitelka dle data </w:t>
      </w:r>
      <w:r>
        <w:rPr>
          <w:rFonts w:ascii="Times New Roman" w:hAnsi="Times New Roman" w:cs="Times New Roman"/>
          <w:b/>
          <w:sz w:val="24"/>
          <w:szCs w:val="24"/>
        </w:rPr>
        <w:t>dovršení 3 let věku do 31.8 daného roku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b/>
          <w:sz w:val="24"/>
          <w:szCs w:val="24"/>
        </w:rPr>
        <w:t>těch, které dosáhnou 3 let od 1.9. V tomto případě lze přihlédnout i k zaměstnanosti rodičů a přítomnosti sourozence v MŠ.</w:t>
      </w:r>
    </w:p>
    <w:p w:rsidR="00B151D4" w:rsidRDefault="00B151D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katabulky"/>
        <w:tblW w:w="9250" w:type="dxa"/>
        <w:tblLayout w:type="fixed"/>
        <w:tblLook w:val="04A0" w:firstRow="1" w:lastRow="0" w:firstColumn="1" w:lastColumn="0" w:noHBand="0" w:noVBand="1"/>
      </w:tblPr>
      <w:tblGrid>
        <w:gridCol w:w="3004"/>
        <w:gridCol w:w="3005"/>
        <w:gridCol w:w="3005"/>
        <w:gridCol w:w="25"/>
        <w:gridCol w:w="211"/>
      </w:tblGrid>
      <w:tr w:rsidR="00B151D4" w:rsidTr="00686DC2">
        <w:tc>
          <w:tcPr>
            <w:tcW w:w="3004" w:type="dxa"/>
            <w:vAlign w:val="center"/>
          </w:tcPr>
          <w:p w:rsidR="00B151D4" w:rsidRDefault="004E11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Kritéria</w:t>
            </w:r>
          </w:p>
        </w:tc>
        <w:tc>
          <w:tcPr>
            <w:tcW w:w="3005" w:type="dxa"/>
            <w:vAlign w:val="center"/>
          </w:tcPr>
          <w:p w:rsidR="00B151D4" w:rsidRDefault="00B15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5" w:type="dxa"/>
            <w:vAlign w:val="center"/>
          </w:tcPr>
          <w:p w:rsidR="00B151D4" w:rsidRDefault="004E11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Bodové hodnocení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  <w:vAlign w:val="center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Dítě, pro které je předškolní vzdělání povinné</w:t>
            </w:r>
          </w:p>
        </w:tc>
        <w:tc>
          <w:tcPr>
            <w:tcW w:w="3005" w:type="dxa"/>
            <w:vAlign w:val="center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Dosažení 5 a více let</w:t>
            </w:r>
          </w:p>
        </w:tc>
        <w:tc>
          <w:tcPr>
            <w:tcW w:w="3005" w:type="dxa"/>
            <w:vAlign w:val="center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Vždy přednostně přijato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Věk dítěte ze spádových 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Dosažení 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4let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10 bodů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obcí- dovršené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 31.8.           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Dosažení 3 let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8 bodů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daného kalendářního roku                                  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Méně než 3 roky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0 bodů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</w:tcPr>
          <w:p w:rsidR="00B151D4" w:rsidRDefault="00B15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:rsidR="00B151D4" w:rsidRDefault="00B15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Individuální situace dítěte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Dítě se hlásí k celodenní docházce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10 bodů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c>
          <w:tcPr>
            <w:tcW w:w="3004" w:type="dxa"/>
          </w:tcPr>
          <w:p w:rsidR="00B151D4" w:rsidRDefault="00B15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Dítě se hlásí k polodenní docházce</w:t>
            </w: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4 body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51D4" w:rsidRDefault="00B151D4">
            <w:pPr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B151D4" w:rsidTr="00686DC2">
        <w:trPr>
          <w:gridAfter w:val="1"/>
          <w:wAfter w:w="211" w:type="dxa"/>
        </w:trPr>
        <w:tc>
          <w:tcPr>
            <w:tcW w:w="3004" w:type="dxa"/>
          </w:tcPr>
          <w:p w:rsidR="00B151D4" w:rsidRDefault="00B15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Dítě se specifickými vzdělávacími potřebami (předpokládaná integrace), které doporučilo školské poradenské zařízení, OSPOD, a to dle podmínek školy</w:t>
            </w:r>
          </w:p>
        </w:tc>
        <w:tc>
          <w:tcPr>
            <w:tcW w:w="3030" w:type="dxa"/>
            <w:gridSpan w:val="2"/>
          </w:tcPr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</w:t>
            </w:r>
          </w:p>
          <w:p w:rsidR="00B151D4" w:rsidRDefault="00B15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1D4" w:rsidRDefault="00B151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1D4" w:rsidRDefault="004E11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6 bodů</w:t>
            </w:r>
          </w:p>
        </w:tc>
      </w:tr>
    </w:tbl>
    <w:p w:rsidR="00B151D4" w:rsidRDefault="004E11CE">
      <w:pPr>
        <w:pStyle w:val="Normlnweb"/>
        <w:shd w:val="clear" w:color="auto" w:fill="FFFFFF"/>
        <w:spacing w:before="120" w:beforeAutospacing="0" w:after="216" w:afterAutospacing="0"/>
        <w:rPr>
          <w:rFonts w:ascii="Trebuchet MS" w:hAnsi="Trebuchet MS"/>
          <w:color w:val="222222"/>
          <w:sz w:val="18"/>
          <w:szCs w:val="18"/>
        </w:rPr>
      </w:pPr>
      <w:r w:rsidRPr="00686DC2">
        <w:rPr>
          <w:rFonts w:ascii="Trebuchet MS" w:hAnsi="Trebuchet MS"/>
          <w:b/>
          <w:color w:val="222222"/>
          <w:sz w:val="18"/>
          <w:szCs w:val="18"/>
        </w:rPr>
        <w:t xml:space="preserve">V </w:t>
      </w:r>
      <w:r w:rsidR="00686DC2">
        <w:rPr>
          <w:rFonts w:ascii="Trebuchet MS" w:hAnsi="Trebuchet MS"/>
          <w:b/>
          <w:color w:val="222222"/>
          <w:sz w:val="18"/>
          <w:szCs w:val="18"/>
        </w:rPr>
        <w:t xml:space="preserve">den </w:t>
      </w:r>
      <w:r w:rsidRPr="00686DC2">
        <w:rPr>
          <w:rFonts w:ascii="Trebuchet MS" w:hAnsi="Trebuchet MS"/>
          <w:b/>
          <w:color w:val="222222"/>
          <w:sz w:val="18"/>
          <w:szCs w:val="18"/>
        </w:rPr>
        <w:t>zápisu</w:t>
      </w:r>
      <w:r w:rsidR="00686DC2">
        <w:rPr>
          <w:rFonts w:ascii="Trebuchet MS" w:hAnsi="Trebuchet MS"/>
          <w:b/>
          <w:color w:val="222222"/>
          <w:sz w:val="18"/>
          <w:szCs w:val="18"/>
        </w:rPr>
        <w:t xml:space="preserve"> </w:t>
      </w:r>
      <w:r w:rsidR="00686DC2" w:rsidRPr="00686DC2">
        <w:rPr>
          <w:rFonts w:ascii="Trebuchet MS" w:hAnsi="Trebuchet MS"/>
          <w:b/>
          <w:color w:val="222222"/>
          <w:sz w:val="18"/>
          <w:szCs w:val="18"/>
        </w:rPr>
        <w:t>14.4</w:t>
      </w:r>
      <w:r w:rsidRPr="00686DC2">
        <w:rPr>
          <w:rFonts w:ascii="Trebuchet MS" w:hAnsi="Trebuchet MS"/>
          <w:b/>
          <w:color w:val="222222"/>
          <w:sz w:val="18"/>
          <w:szCs w:val="18"/>
        </w:rPr>
        <w:t>.202</w:t>
      </w:r>
      <w:r w:rsidR="00686DC2" w:rsidRPr="00686DC2">
        <w:rPr>
          <w:rFonts w:ascii="Trebuchet MS" w:hAnsi="Trebuchet MS"/>
          <w:b/>
          <w:color w:val="222222"/>
          <w:sz w:val="18"/>
          <w:szCs w:val="18"/>
        </w:rPr>
        <w:t>6</w:t>
      </w:r>
      <w:r>
        <w:rPr>
          <w:rFonts w:ascii="Trebuchet MS" w:hAnsi="Trebuchet MS"/>
          <w:color w:val="222222"/>
          <w:sz w:val="18"/>
          <w:szCs w:val="18"/>
        </w:rPr>
        <w:t xml:space="preserve"> mají </w:t>
      </w:r>
      <w:r w:rsidRPr="00686DC2">
        <w:rPr>
          <w:rFonts w:ascii="Trebuchet MS" w:hAnsi="Trebuchet MS"/>
          <w:b/>
          <w:color w:val="222222"/>
          <w:sz w:val="18"/>
          <w:szCs w:val="18"/>
        </w:rPr>
        <w:t>všechny</w:t>
      </w:r>
      <w:r>
        <w:rPr>
          <w:rFonts w:ascii="Trebuchet MS" w:hAnsi="Trebuchet MS"/>
          <w:color w:val="222222"/>
          <w:sz w:val="18"/>
          <w:szCs w:val="18"/>
        </w:rPr>
        <w:t xml:space="preserve"> </w:t>
      </w:r>
      <w:r w:rsidRPr="00686DC2">
        <w:rPr>
          <w:rFonts w:ascii="Trebuchet MS" w:hAnsi="Trebuchet MS"/>
          <w:b/>
          <w:color w:val="222222"/>
          <w:sz w:val="18"/>
          <w:szCs w:val="18"/>
        </w:rPr>
        <w:t>podané žádosti k přijetí stejnou váhu</w:t>
      </w:r>
      <w:r>
        <w:rPr>
          <w:rFonts w:ascii="Trebuchet MS" w:hAnsi="Trebuchet MS"/>
          <w:color w:val="222222"/>
          <w:sz w:val="18"/>
          <w:szCs w:val="18"/>
        </w:rPr>
        <w:t xml:space="preserve">. V žádném případě nebude v tomto období vytvořeno pořadí s přednostní výhodou k přijetí do MŠ. </w:t>
      </w:r>
      <w:r>
        <w:rPr>
          <w:rFonts w:ascii="Trebuchet MS" w:hAnsi="Trebuchet MS"/>
          <w:color w:val="222222"/>
          <w:sz w:val="18"/>
          <w:szCs w:val="18"/>
          <w:shd w:val="clear" w:color="auto" w:fill="FFFFFF"/>
        </w:rPr>
        <w:t>Při rozhodování o přijetí dítěte k předškolnímu vzdělávání v mateřské škole bude ředitelka mateřské školy brát v úvahu důležitost jednotlivých kritérií.</w:t>
      </w:r>
    </w:p>
    <w:p w:rsidR="00B151D4" w:rsidRDefault="004E11CE">
      <w:pPr>
        <w:pStyle w:val="Normlnweb"/>
        <w:shd w:val="clear" w:color="auto" w:fill="FFFFFF"/>
        <w:spacing w:before="120" w:beforeAutospacing="0" w:after="216" w:afterAutospacing="0"/>
        <w:rPr>
          <w:rFonts w:ascii="Trebuchet MS" w:hAnsi="Trebuchet MS"/>
          <w:color w:val="222222"/>
          <w:sz w:val="18"/>
          <w:szCs w:val="18"/>
        </w:rPr>
      </w:pPr>
      <w:r>
        <w:rPr>
          <w:rFonts w:ascii="Trebuchet MS" w:hAnsi="Trebuchet MS"/>
          <w:color w:val="222222"/>
          <w:sz w:val="18"/>
          <w:szCs w:val="18"/>
        </w:rPr>
        <w:lastRenderedPageBreak/>
        <w:t> </w:t>
      </w:r>
    </w:p>
    <w:p w:rsidR="00B151D4" w:rsidRDefault="00B151D4">
      <w:pPr>
        <w:rPr>
          <w:rFonts w:ascii="Times New Roman" w:hAnsi="Times New Roman" w:cs="Times New Roman"/>
          <w:b/>
          <w:sz w:val="24"/>
          <w:szCs w:val="24"/>
        </w:rPr>
      </w:pPr>
    </w:p>
    <w:sectPr w:rsidR="00B151D4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02B48"/>
    <w:multiLevelType w:val="multilevel"/>
    <w:tmpl w:val="41EA27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2B170F"/>
    <w:multiLevelType w:val="multilevel"/>
    <w:tmpl w:val="99CED8D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51D4"/>
    <w:rsid w:val="004E11CE"/>
    <w:rsid w:val="00686DC2"/>
    <w:rsid w:val="00B1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7A9DA"/>
  <w15:docId w15:val="{791600D5-630B-45AE-9419-E95C06E01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E54911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styleId="Odstavecseseznamem">
    <w:name w:val="List Paragraph"/>
    <w:basedOn w:val="Normln"/>
    <w:uiPriority w:val="34"/>
    <w:qFormat/>
    <w:rsid w:val="003C1B2A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qFormat/>
    <w:rsid w:val="006A543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ED2FC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322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Wondráková</dc:creator>
  <dc:description/>
  <cp:lastModifiedBy>ASUS</cp:lastModifiedBy>
  <cp:revision>6</cp:revision>
  <cp:lastPrinted>2026-01-18T10:41:00Z</cp:lastPrinted>
  <dcterms:created xsi:type="dcterms:W3CDTF">2018-03-17T14:42:00Z</dcterms:created>
  <dcterms:modified xsi:type="dcterms:W3CDTF">2026-01-18T10:42:00Z</dcterms:modified>
  <dc:language>cs-CZ</dc:language>
</cp:coreProperties>
</file>